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BA15A2">
      <w:pPr>
        <w:rPr>
          <w:b/>
          <w:sz w:val="24"/>
          <w:szCs w:val="24"/>
        </w:rPr>
      </w:pPr>
    </w:p>
    <w:p w:rsidR="00FE38F5" w:rsidRPr="00FE38F5" w:rsidRDefault="00FE38F5" w:rsidP="00FE38F5">
      <w:pPr>
        <w:jc w:val="center"/>
        <w:rPr>
          <w:bCs/>
        </w:rPr>
      </w:pPr>
    </w:p>
    <w:p w:rsidR="00FE38F5" w:rsidRPr="00F26D63" w:rsidRDefault="00BA15A2" w:rsidP="00FE38F5">
      <w:pPr>
        <w:jc w:val="center"/>
        <w:rPr>
          <w:b/>
        </w:rPr>
      </w:pPr>
      <w:r>
        <w:rPr>
          <w:b/>
        </w:rPr>
        <w:t>Свод</w:t>
      </w:r>
      <w:r w:rsidR="00FE38F5" w:rsidRPr="00F26D63">
        <w:rPr>
          <w:b/>
        </w:rPr>
        <w:t xml:space="preserve"> предложений</w:t>
      </w:r>
    </w:p>
    <w:p w:rsidR="00FE38F5" w:rsidRPr="00F26D63" w:rsidRDefault="00FE38F5" w:rsidP="00FE38F5">
      <w:pPr>
        <w:jc w:val="center"/>
        <w:rPr>
          <w:b/>
        </w:rPr>
      </w:pPr>
      <w:r w:rsidRPr="00F26D63">
        <w:rPr>
          <w:b/>
        </w:rPr>
        <w:t xml:space="preserve">по результатам проведения публичных консультаций </w:t>
      </w:r>
    </w:p>
    <w:p w:rsidR="00FE38F5" w:rsidRPr="00F26D63" w:rsidRDefault="00FE38F5" w:rsidP="00FE38F5">
      <w:pPr>
        <w:jc w:val="center"/>
        <w:rPr>
          <w:b/>
        </w:rPr>
      </w:pPr>
    </w:p>
    <w:p w:rsidR="00FE38F5" w:rsidRPr="00F26D63" w:rsidRDefault="00FE38F5" w:rsidP="00F26D63">
      <w:pPr>
        <w:ind w:firstLine="708"/>
        <w:jc w:val="both"/>
      </w:pPr>
      <w:r w:rsidRPr="00F26D63">
        <w:t xml:space="preserve">В соответствии с пунктом 5 Порядка </w:t>
      </w:r>
      <w:r w:rsidRPr="00F26D63">
        <w:rPr>
          <w:rFonts w:eastAsia="Calibri"/>
          <w:bCs/>
          <w:lang w:eastAsia="en-US"/>
        </w:rPr>
        <w:t xml:space="preserve">проведения оценки регулирующего воздействия </w:t>
      </w:r>
      <w:r w:rsidRPr="00F26D63">
        <w:rPr>
          <w:rFonts w:eastAsia="Calibri"/>
          <w:bCs/>
          <w:u w:val="single"/>
          <w:lang w:eastAsia="en-US"/>
        </w:rPr>
        <w:t>проектов муниципальных нормативных правовых актов админис</w:t>
      </w:r>
      <w:r w:rsidRPr="00F26D63">
        <w:rPr>
          <w:rFonts w:eastAsia="Calibri"/>
          <w:bCs/>
          <w:u w:val="single"/>
          <w:lang w:eastAsia="en-US"/>
        </w:rPr>
        <w:t>т</w:t>
      </w:r>
      <w:r w:rsidRPr="00F26D63">
        <w:rPr>
          <w:rFonts w:eastAsia="Calibri"/>
          <w:bCs/>
          <w:u w:val="single"/>
          <w:lang w:eastAsia="en-US"/>
        </w:rPr>
        <w:t>рации района</w:t>
      </w:r>
      <w:r w:rsidRPr="00F26D63">
        <w:rPr>
          <w:rFonts w:eastAsia="Calibri"/>
          <w:bCs/>
          <w:lang w:eastAsia="en-US"/>
        </w:rPr>
        <w:t xml:space="preserve">, </w:t>
      </w:r>
      <w:r w:rsidRPr="00F26D63">
        <w:rPr>
          <w:u w:val="single"/>
        </w:rPr>
        <w:t>устанавливающих новые или изменяющих раннее предусмо</w:t>
      </w:r>
      <w:r w:rsidRPr="00F26D63">
        <w:rPr>
          <w:u w:val="single"/>
        </w:rPr>
        <w:t>т</w:t>
      </w:r>
      <w:r w:rsidRPr="00F26D63">
        <w:rPr>
          <w:u w:val="single"/>
        </w:rPr>
        <w:t>ренные муниципальными нормативными правовыми актами обязанности для субъектов предпринимательской и инвестиционной деятельности</w:t>
      </w:r>
      <w:r w:rsidRPr="00F26D63">
        <w:rPr>
          <w:rFonts w:eastAsia="Calibri"/>
          <w:bCs/>
          <w:lang w:eastAsia="en-US"/>
        </w:rPr>
        <w:t xml:space="preserve"> и </w:t>
      </w:r>
      <w:proofErr w:type="gramStart"/>
      <w:r w:rsidRPr="00F26D63">
        <w:rPr>
          <w:rFonts w:eastAsia="Calibri"/>
          <w:bCs/>
          <w:lang w:eastAsia="en-US"/>
        </w:rPr>
        <w:t>экспертизы</w:t>
      </w:r>
      <w:proofErr w:type="gramEnd"/>
      <w:r w:rsidRPr="00F26D63">
        <w:rPr>
          <w:rFonts w:eastAsia="Calibri"/>
          <w:bCs/>
          <w:lang w:eastAsia="en-US"/>
        </w:rPr>
        <w:t xml:space="preserve"> принятых администрацией Нижневартовского района  </w:t>
      </w:r>
      <w:r w:rsidRPr="00F26D63">
        <w:rPr>
          <w:rFonts w:cs="Calibri"/>
        </w:rPr>
        <w:t>муниципальных норм</w:t>
      </w:r>
      <w:r w:rsidRPr="00F26D63">
        <w:rPr>
          <w:rFonts w:cs="Calibri"/>
        </w:rPr>
        <w:t>а</w:t>
      </w:r>
      <w:r w:rsidRPr="00F26D63">
        <w:rPr>
          <w:rFonts w:cs="Calibri"/>
        </w:rPr>
        <w:t>тивных правовых</w:t>
      </w:r>
      <w:r w:rsidRPr="00F26D63">
        <w:rPr>
          <w:rFonts w:ascii="Calibri" w:hAnsi="Calibri" w:cs="Calibri"/>
        </w:rPr>
        <w:t xml:space="preserve"> </w:t>
      </w:r>
      <w:r w:rsidRPr="00F26D63">
        <w:rPr>
          <w:rFonts w:cs="Calibri"/>
        </w:rPr>
        <w:t>актов, затрагивающих вопросы осуществления предприним</w:t>
      </w:r>
      <w:r w:rsidRPr="00F26D63">
        <w:rPr>
          <w:rFonts w:cs="Calibri"/>
        </w:rPr>
        <w:t>а</w:t>
      </w:r>
      <w:r w:rsidRPr="00F26D63">
        <w:rPr>
          <w:rFonts w:cs="Calibri"/>
        </w:rPr>
        <w:t>тельской и инвестиционной</w:t>
      </w:r>
      <w:r w:rsidR="00153A4E" w:rsidRPr="00F26D63">
        <w:t xml:space="preserve"> от  18.07.2016 №1726,</w:t>
      </w:r>
      <w:r w:rsidRPr="00F26D63">
        <w:t xml:space="preserve"> </w:t>
      </w:r>
      <w:r w:rsidR="00153A4E" w:rsidRPr="00F26D63">
        <w:t xml:space="preserve">отделом жилищно-коммунального хозяйства, энергетики и строительства администрации </w:t>
      </w:r>
      <w:proofErr w:type="gramStart"/>
      <w:r w:rsidR="00153A4E" w:rsidRPr="00F26D63">
        <w:t>района в период с "</w:t>
      </w:r>
      <w:r w:rsidR="00153A4E" w:rsidRPr="00F26D63">
        <w:rPr>
          <w:u w:val="single"/>
        </w:rPr>
        <w:t>15</w:t>
      </w:r>
      <w:r w:rsidR="00153A4E" w:rsidRPr="00F26D63">
        <w:t xml:space="preserve">" </w:t>
      </w:r>
      <w:r w:rsidR="00153A4E" w:rsidRPr="00F26D63">
        <w:rPr>
          <w:u w:val="single"/>
        </w:rPr>
        <w:t xml:space="preserve">мая 2018 </w:t>
      </w:r>
      <w:r w:rsidR="00153A4E" w:rsidRPr="00F26D63">
        <w:t>года  по  "</w:t>
      </w:r>
      <w:r w:rsidR="00153A4E" w:rsidRPr="00F26D63">
        <w:rPr>
          <w:u w:val="single"/>
        </w:rPr>
        <w:t>15</w:t>
      </w:r>
      <w:r w:rsidR="00153A4E" w:rsidRPr="00F26D63">
        <w:t xml:space="preserve">" </w:t>
      </w:r>
      <w:r w:rsidR="00153A4E" w:rsidRPr="00F26D63">
        <w:rPr>
          <w:u w:val="single"/>
        </w:rPr>
        <w:t>июня 2018</w:t>
      </w:r>
      <w:r w:rsidR="00153A4E" w:rsidRPr="00F26D63">
        <w:t xml:space="preserve"> года  проведены публичные консультации по </w:t>
      </w:r>
      <w:r w:rsidRPr="00F26D63">
        <w:t>постановлени</w:t>
      </w:r>
      <w:r w:rsidR="00153A4E" w:rsidRPr="00F26D63">
        <w:t>ю</w:t>
      </w:r>
      <w:r w:rsidRPr="00F26D63">
        <w:t xml:space="preserve"> администрации района </w:t>
      </w:r>
      <w:r w:rsidR="00143291" w:rsidRPr="004A7A35">
        <w:t xml:space="preserve">от </w:t>
      </w:r>
      <w:r w:rsidR="00143291">
        <w:t>26</w:t>
      </w:r>
      <w:r w:rsidR="00143291" w:rsidRPr="004A7A35">
        <w:t>.12.2017 № 2</w:t>
      </w:r>
      <w:r w:rsidR="00143291">
        <w:t>764</w:t>
      </w:r>
      <w:r w:rsidR="00143291" w:rsidRPr="00F26D63">
        <w:t xml:space="preserve"> </w:t>
      </w:r>
      <w:r w:rsidR="00153A4E" w:rsidRPr="00F26D63">
        <w:t>«О внесении изменений в постановление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proofErr w:type="gramEnd"/>
    </w:p>
    <w:p w:rsidR="00153A4E" w:rsidRPr="00F26D63" w:rsidRDefault="00153A4E" w:rsidP="00FE38F5">
      <w:pPr>
        <w:spacing w:line="276" w:lineRule="auto"/>
        <w:jc w:val="both"/>
      </w:pPr>
    </w:p>
    <w:p w:rsidR="00153A4E" w:rsidRDefault="00153A4E" w:rsidP="00153A4E">
      <w:pPr>
        <w:tabs>
          <w:tab w:val="left" w:pos="9638"/>
        </w:tabs>
        <w:autoSpaceDE w:val="0"/>
        <w:autoSpaceDN w:val="0"/>
        <w:adjustRightInd w:val="0"/>
        <w:ind w:right="-1" w:firstLine="709"/>
        <w:jc w:val="both"/>
      </w:pPr>
      <w:r>
        <w:t xml:space="preserve">Извещения </w:t>
      </w:r>
      <w:r w:rsidRPr="00E04768">
        <w:t>о проведении публичных консультаций были направлены</w:t>
      </w:r>
      <w:r>
        <w:t>:</w:t>
      </w:r>
    </w:p>
    <w:p w:rsidR="00153A4E" w:rsidRPr="00DB1CA9" w:rsidRDefault="00153A4E" w:rsidP="00153A4E">
      <w:pPr>
        <w:ind w:firstLine="709"/>
        <w:jc w:val="both"/>
        <w:rPr>
          <w:sz w:val="16"/>
          <w:szCs w:val="16"/>
        </w:rPr>
      </w:pPr>
    </w:p>
    <w:p w:rsidR="00153A4E" w:rsidRDefault="00153A4E" w:rsidP="00153A4E">
      <w:pPr>
        <w:pStyle w:val="afffff5"/>
        <w:numPr>
          <w:ilvl w:val="0"/>
          <w:numId w:val="16"/>
        </w:numPr>
        <w:suppressAutoHyphens w:val="0"/>
        <w:spacing w:line="240" w:lineRule="auto"/>
        <w:contextualSpacing/>
        <w:rPr>
          <w:sz w:val="28"/>
          <w:szCs w:val="28"/>
        </w:rPr>
      </w:pPr>
      <w:r>
        <w:rPr>
          <w:sz w:val="28"/>
          <w:szCs w:val="28"/>
        </w:rPr>
        <w:t xml:space="preserve">Президенту общественной организации Нижневартовского района «Ассоциация развития и поддержки малого и среднего бизнеса» Р. А. </w:t>
      </w:r>
      <w:proofErr w:type="spellStart"/>
      <w:r>
        <w:rPr>
          <w:sz w:val="28"/>
          <w:szCs w:val="28"/>
        </w:rPr>
        <w:t>Сергину</w:t>
      </w:r>
      <w:proofErr w:type="spellEnd"/>
      <w:r w:rsidR="00F26D63">
        <w:rPr>
          <w:sz w:val="28"/>
          <w:szCs w:val="28"/>
        </w:rPr>
        <w:t>;</w:t>
      </w:r>
    </w:p>
    <w:p w:rsidR="00153A4E" w:rsidRDefault="00153A4E" w:rsidP="00153A4E">
      <w:pPr>
        <w:pStyle w:val="afffff5"/>
        <w:numPr>
          <w:ilvl w:val="0"/>
          <w:numId w:val="16"/>
        </w:numPr>
        <w:suppressAutoHyphens w:val="0"/>
        <w:spacing w:line="240" w:lineRule="auto"/>
        <w:contextualSpacing/>
        <w:rPr>
          <w:sz w:val="28"/>
          <w:szCs w:val="28"/>
        </w:rPr>
      </w:pPr>
      <w:proofErr w:type="gramStart"/>
      <w:r>
        <w:rPr>
          <w:sz w:val="28"/>
          <w:szCs w:val="28"/>
        </w:rPr>
        <w:t>Директору Нижневартовского экономико-правового института (ф</w:t>
      </w:r>
      <w:r>
        <w:rPr>
          <w:sz w:val="28"/>
          <w:szCs w:val="28"/>
        </w:rPr>
        <w:t>и</w:t>
      </w:r>
      <w:r>
        <w:rPr>
          <w:sz w:val="28"/>
          <w:szCs w:val="28"/>
        </w:rPr>
        <w:t>лиала) Тюменского государственного университета Н.В. Фроловой</w:t>
      </w:r>
      <w:r w:rsidR="00F26D63">
        <w:rPr>
          <w:sz w:val="28"/>
          <w:szCs w:val="28"/>
        </w:rPr>
        <w:t>;</w:t>
      </w:r>
      <w:proofErr w:type="gramEnd"/>
    </w:p>
    <w:p w:rsidR="00153A4E" w:rsidRPr="002F464E" w:rsidRDefault="00F26D63" w:rsidP="00153A4E">
      <w:pPr>
        <w:pStyle w:val="afffff5"/>
        <w:numPr>
          <w:ilvl w:val="0"/>
          <w:numId w:val="16"/>
        </w:numPr>
        <w:suppressAutoHyphens w:val="0"/>
        <w:spacing w:line="240" w:lineRule="auto"/>
        <w:contextualSpacing/>
        <w:rPr>
          <w:sz w:val="28"/>
          <w:szCs w:val="28"/>
        </w:rPr>
      </w:pPr>
      <w:r>
        <w:rPr>
          <w:sz w:val="28"/>
          <w:szCs w:val="28"/>
        </w:rPr>
        <w:t xml:space="preserve">Директору </w:t>
      </w:r>
      <w:proofErr w:type="gramStart"/>
      <w:r>
        <w:rPr>
          <w:sz w:val="28"/>
          <w:szCs w:val="28"/>
        </w:rPr>
        <w:t>муниципального</w:t>
      </w:r>
      <w:proofErr w:type="gramEnd"/>
      <w:r>
        <w:rPr>
          <w:sz w:val="28"/>
          <w:szCs w:val="28"/>
        </w:rPr>
        <w:t xml:space="preserve"> унитарного предприятие «Сельское ж</w:t>
      </w:r>
      <w:r>
        <w:rPr>
          <w:sz w:val="28"/>
          <w:szCs w:val="28"/>
        </w:rPr>
        <w:t>и</w:t>
      </w:r>
      <w:r>
        <w:rPr>
          <w:sz w:val="28"/>
          <w:szCs w:val="28"/>
        </w:rPr>
        <w:t xml:space="preserve">лищно-коммунальное хозяйство» М.Е. </w:t>
      </w:r>
      <w:proofErr w:type="spellStart"/>
      <w:r>
        <w:rPr>
          <w:sz w:val="28"/>
          <w:szCs w:val="28"/>
        </w:rPr>
        <w:t>Загваздиной</w:t>
      </w:r>
      <w:proofErr w:type="spellEnd"/>
      <w:r>
        <w:rPr>
          <w:sz w:val="28"/>
          <w:szCs w:val="28"/>
        </w:rPr>
        <w:t>;</w:t>
      </w:r>
    </w:p>
    <w:p w:rsidR="00153A4E" w:rsidRPr="00F26D63" w:rsidRDefault="00F26D63" w:rsidP="00AE3642">
      <w:pPr>
        <w:pStyle w:val="afffff5"/>
        <w:numPr>
          <w:ilvl w:val="0"/>
          <w:numId w:val="16"/>
        </w:numPr>
        <w:suppressAutoHyphens w:val="0"/>
        <w:spacing w:line="240" w:lineRule="auto"/>
        <w:contextualSpacing/>
        <w:rPr>
          <w:sz w:val="28"/>
          <w:szCs w:val="28"/>
        </w:rPr>
      </w:pPr>
      <w:r w:rsidRPr="00F26D63">
        <w:rPr>
          <w:sz w:val="28"/>
          <w:szCs w:val="28"/>
        </w:rPr>
        <w:t>Директору МКУ «УКС по застройке Нижневартовского района» С.А. Бочкову</w:t>
      </w:r>
      <w:r>
        <w:rPr>
          <w:sz w:val="28"/>
          <w:szCs w:val="28"/>
        </w:rPr>
        <w:t>;</w:t>
      </w:r>
    </w:p>
    <w:p w:rsidR="00153A4E" w:rsidRDefault="00F26D63" w:rsidP="00F26D63">
      <w:pPr>
        <w:ind w:firstLine="709"/>
        <w:jc w:val="both"/>
        <w:rPr>
          <w:lang w:eastAsia="ar-SA"/>
        </w:rPr>
      </w:pPr>
      <w:r>
        <w:rPr>
          <w:lang w:eastAsia="ar-SA"/>
        </w:rPr>
        <w:t xml:space="preserve">Директору АО «Югорская энергетическая компания </w:t>
      </w:r>
      <w:proofErr w:type="spellStart"/>
      <w:proofErr w:type="gramStart"/>
      <w:r>
        <w:rPr>
          <w:lang w:eastAsia="ar-SA"/>
        </w:rPr>
        <w:t>де-централизованной</w:t>
      </w:r>
      <w:proofErr w:type="spellEnd"/>
      <w:proofErr w:type="gramEnd"/>
      <w:r>
        <w:rPr>
          <w:lang w:eastAsia="ar-SA"/>
        </w:rPr>
        <w:t xml:space="preserve"> зоны»  А.Е. </w:t>
      </w:r>
      <w:proofErr w:type="spellStart"/>
      <w:r>
        <w:rPr>
          <w:lang w:eastAsia="ar-SA"/>
        </w:rPr>
        <w:t>Голубеву</w:t>
      </w:r>
      <w:proofErr w:type="spellEnd"/>
      <w:r>
        <w:rPr>
          <w:lang w:eastAsia="ar-SA"/>
        </w:rPr>
        <w:t>.</w:t>
      </w:r>
    </w:p>
    <w:p w:rsidR="00F26D63" w:rsidRDefault="00F26D63" w:rsidP="00F26D63">
      <w:pPr>
        <w:ind w:firstLine="709"/>
        <w:jc w:val="both"/>
      </w:pPr>
    </w:p>
    <w:p w:rsidR="00153A4E" w:rsidRDefault="00153A4E" w:rsidP="00153A4E">
      <w:pPr>
        <w:ind w:firstLine="709"/>
        <w:contextualSpacing/>
        <w:jc w:val="both"/>
      </w:pPr>
      <w:r w:rsidRPr="003C62FF">
        <w:t xml:space="preserve">При проведении публичных консультаций </w:t>
      </w:r>
      <w:r>
        <w:t>поступили</w:t>
      </w:r>
      <w:r w:rsidRPr="003C62FF">
        <w:t xml:space="preserve"> отзывы </w:t>
      </w:r>
      <w:proofErr w:type="gramStart"/>
      <w:r w:rsidRPr="003C62FF">
        <w:t>от</w:t>
      </w:r>
      <w:proofErr w:type="gramEnd"/>
      <w:r>
        <w:t>:</w:t>
      </w:r>
    </w:p>
    <w:p w:rsidR="00F26D63" w:rsidRDefault="00393329" w:rsidP="00F26D63">
      <w:pPr>
        <w:pStyle w:val="afffff5"/>
        <w:numPr>
          <w:ilvl w:val="0"/>
          <w:numId w:val="19"/>
        </w:numPr>
        <w:suppressAutoHyphens w:val="0"/>
        <w:spacing w:line="240" w:lineRule="auto"/>
        <w:contextualSpacing/>
        <w:rPr>
          <w:sz w:val="28"/>
          <w:szCs w:val="28"/>
        </w:rPr>
      </w:pPr>
      <w:r>
        <w:rPr>
          <w:sz w:val="28"/>
          <w:szCs w:val="28"/>
        </w:rPr>
        <w:t>О</w:t>
      </w:r>
      <w:r w:rsidR="00F26D63">
        <w:rPr>
          <w:sz w:val="28"/>
          <w:szCs w:val="28"/>
        </w:rPr>
        <w:t>бщественн</w:t>
      </w:r>
      <w:r>
        <w:rPr>
          <w:sz w:val="28"/>
          <w:szCs w:val="28"/>
        </w:rPr>
        <w:t>ая</w:t>
      </w:r>
      <w:r w:rsidR="00F26D63">
        <w:rPr>
          <w:sz w:val="28"/>
          <w:szCs w:val="28"/>
        </w:rPr>
        <w:t xml:space="preserve"> организаци</w:t>
      </w:r>
      <w:r>
        <w:rPr>
          <w:sz w:val="28"/>
          <w:szCs w:val="28"/>
        </w:rPr>
        <w:t>я</w:t>
      </w:r>
      <w:r w:rsidR="00F26D63">
        <w:rPr>
          <w:sz w:val="28"/>
          <w:szCs w:val="28"/>
        </w:rPr>
        <w:t xml:space="preserve"> Нижневартовского района «Ассоциация развития и поддержки малого и среднего бизнеса»;</w:t>
      </w:r>
    </w:p>
    <w:p w:rsidR="00F26D63" w:rsidRDefault="00F26D63" w:rsidP="00F26D63">
      <w:pPr>
        <w:pStyle w:val="afffff5"/>
        <w:numPr>
          <w:ilvl w:val="0"/>
          <w:numId w:val="19"/>
        </w:numPr>
        <w:suppressAutoHyphens w:val="0"/>
        <w:spacing w:line="240" w:lineRule="auto"/>
        <w:contextualSpacing/>
        <w:rPr>
          <w:sz w:val="28"/>
          <w:szCs w:val="28"/>
        </w:rPr>
      </w:pPr>
      <w:proofErr w:type="spellStart"/>
      <w:r>
        <w:rPr>
          <w:sz w:val="28"/>
          <w:szCs w:val="28"/>
        </w:rPr>
        <w:t>Нижневартовск</w:t>
      </w:r>
      <w:r w:rsidR="00393329">
        <w:rPr>
          <w:sz w:val="28"/>
          <w:szCs w:val="28"/>
        </w:rPr>
        <w:t>ий</w:t>
      </w:r>
      <w:proofErr w:type="spellEnd"/>
      <w:r>
        <w:rPr>
          <w:sz w:val="28"/>
          <w:szCs w:val="28"/>
        </w:rPr>
        <w:t xml:space="preserve"> экономико-правового и</w:t>
      </w:r>
      <w:r w:rsidR="00393329">
        <w:rPr>
          <w:sz w:val="28"/>
          <w:szCs w:val="28"/>
        </w:rPr>
        <w:t>нститут</w:t>
      </w:r>
      <w:r>
        <w:rPr>
          <w:sz w:val="28"/>
          <w:szCs w:val="28"/>
        </w:rPr>
        <w:t xml:space="preserve"> (филиала) Тюме</w:t>
      </w:r>
      <w:r>
        <w:rPr>
          <w:sz w:val="28"/>
          <w:szCs w:val="28"/>
        </w:rPr>
        <w:t>н</w:t>
      </w:r>
      <w:r>
        <w:rPr>
          <w:sz w:val="28"/>
          <w:szCs w:val="28"/>
        </w:rPr>
        <w:t>ского государственного университета;</w:t>
      </w:r>
    </w:p>
    <w:p w:rsidR="00F26D63" w:rsidRPr="002F464E" w:rsidRDefault="00393329" w:rsidP="00F26D63">
      <w:pPr>
        <w:pStyle w:val="afffff5"/>
        <w:numPr>
          <w:ilvl w:val="0"/>
          <w:numId w:val="19"/>
        </w:numPr>
        <w:suppressAutoHyphens w:val="0"/>
        <w:spacing w:line="240" w:lineRule="auto"/>
        <w:contextualSpacing/>
        <w:rPr>
          <w:sz w:val="28"/>
          <w:szCs w:val="28"/>
        </w:rPr>
      </w:pPr>
      <w:r>
        <w:rPr>
          <w:sz w:val="28"/>
          <w:szCs w:val="28"/>
        </w:rPr>
        <w:t>М</w:t>
      </w:r>
      <w:r w:rsidR="00F26D63">
        <w:rPr>
          <w:sz w:val="28"/>
          <w:szCs w:val="28"/>
        </w:rPr>
        <w:t>униципально</w:t>
      </w:r>
      <w:r>
        <w:rPr>
          <w:sz w:val="28"/>
          <w:szCs w:val="28"/>
        </w:rPr>
        <w:t>е</w:t>
      </w:r>
      <w:r w:rsidR="00F26D63">
        <w:rPr>
          <w:sz w:val="28"/>
          <w:szCs w:val="28"/>
        </w:rPr>
        <w:t xml:space="preserve"> унитарно</w:t>
      </w:r>
      <w:r>
        <w:rPr>
          <w:sz w:val="28"/>
          <w:szCs w:val="28"/>
        </w:rPr>
        <w:t>е</w:t>
      </w:r>
      <w:r w:rsidR="00F26D63">
        <w:rPr>
          <w:sz w:val="28"/>
          <w:szCs w:val="28"/>
        </w:rPr>
        <w:t xml:space="preserve"> предприятие «Сельское жилищно-коммунальное хозяйство»;</w:t>
      </w:r>
    </w:p>
    <w:p w:rsidR="00F26D63" w:rsidRDefault="00F26D63" w:rsidP="00F26D63">
      <w:pPr>
        <w:pStyle w:val="afffff5"/>
        <w:numPr>
          <w:ilvl w:val="0"/>
          <w:numId w:val="19"/>
        </w:numPr>
        <w:suppressAutoHyphens w:val="0"/>
        <w:spacing w:line="240" w:lineRule="auto"/>
        <w:contextualSpacing/>
        <w:rPr>
          <w:sz w:val="28"/>
          <w:szCs w:val="28"/>
        </w:rPr>
      </w:pPr>
      <w:r w:rsidRPr="00F26D63">
        <w:rPr>
          <w:sz w:val="28"/>
          <w:szCs w:val="28"/>
        </w:rPr>
        <w:t>МКУ «УКС по застройке Нижневартовского района</w:t>
      </w:r>
      <w:r w:rsidR="00393329">
        <w:rPr>
          <w:sz w:val="28"/>
          <w:szCs w:val="28"/>
        </w:rPr>
        <w:t>»</w:t>
      </w:r>
      <w:r>
        <w:rPr>
          <w:sz w:val="28"/>
          <w:szCs w:val="28"/>
        </w:rPr>
        <w:t>;</w:t>
      </w:r>
    </w:p>
    <w:p w:rsidR="00F26D63" w:rsidRPr="00F26D63" w:rsidRDefault="00F26D63" w:rsidP="00F26D63">
      <w:pPr>
        <w:pStyle w:val="afffff5"/>
        <w:numPr>
          <w:ilvl w:val="0"/>
          <w:numId w:val="19"/>
        </w:numPr>
        <w:suppressAutoHyphens w:val="0"/>
        <w:spacing w:line="240" w:lineRule="auto"/>
        <w:contextualSpacing/>
        <w:rPr>
          <w:sz w:val="28"/>
          <w:szCs w:val="28"/>
        </w:rPr>
      </w:pPr>
      <w:r w:rsidRPr="00F26D63">
        <w:rPr>
          <w:sz w:val="28"/>
          <w:szCs w:val="28"/>
        </w:rPr>
        <w:t>Директор</w:t>
      </w:r>
      <w:r>
        <w:rPr>
          <w:sz w:val="28"/>
          <w:szCs w:val="28"/>
        </w:rPr>
        <w:t>а</w:t>
      </w:r>
      <w:r w:rsidRPr="00F26D63">
        <w:rPr>
          <w:sz w:val="28"/>
          <w:szCs w:val="28"/>
        </w:rPr>
        <w:t xml:space="preserve"> АО «Югорская энергетическая компания </w:t>
      </w:r>
      <w:proofErr w:type="spellStart"/>
      <w:proofErr w:type="gramStart"/>
      <w:r w:rsidRPr="00F26D63">
        <w:rPr>
          <w:sz w:val="28"/>
          <w:szCs w:val="28"/>
        </w:rPr>
        <w:t>де-централизованной</w:t>
      </w:r>
      <w:proofErr w:type="spellEnd"/>
      <w:proofErr w:type="gramEnd"/>
      <w:r w:rsidRPr="00F26D63">
        <w:rPr>
          <w:sz w:val="28"/>
          <w:szCs w:val="28"/>
        </w:rPr>
        <w:t xml:space="preserve"> зоны</w:t>
      </w:r>
      <w:r w:rsidR="00393329">
        <w:rPr>
          <w:sz w:val="28"/>
          <w:szCs w:val="28"/>
        </w:rPr>
        <w:t>»</w:t>
      </w:r>
      <w:r>
        <w:rPr>
          <w:sz w:val="28"/>
          <w:szCs w:val="28"/>
        </w:rPr>
        <w:t>.</w:t>
      </w:r>
    </w:p>
    <w:p w:rsidR="00153A4E" w:rsidRDefault="00153A4E" w:rsidP="00153A4E">
      <w:pPr>
        <w:pStyle w:val="afffff5"/>
        <w:ind w:left="1069"/>
      </w:pPr>
    </w:p>
    <w:p w:rsidR="00153A4E" w:rsidRDefault="00153A4E" w:rsidP="00153A4E">
      <w:pPr>
        <w:pStyle w:val="afffff5"/>
        <w:ind w:left="0" w:firstLine="708"/>
        <w:rPr>
          <w:sz w:val="28"/>
          <w:szCs w:val="28"/>
        </w:rPr>
      </w:pPr>
      <w:r w:rsidRPr="004A069C">
        <w:rPr>
          <w:sz w:val="28"/>
          <w:szCs w:val="28"/>
        </w:rPr>
        <w:t>Результаты публичных консультаций и позиция регулирующего органа (органа, осуществляющего экспертизу муниципального нормативного правового акта) отражены в таблице результатов публичных консультаций.</w:t>
      </w:r>
    </w:p>
    <w:p w:rsidR="00F26D63" w:rsidRPr="004A069C" w:rsidRDefault="00F26D63" w:rsidP="00153A4E">
      <w:pPr>
        <w:pStyle w:val="afffff5"/>
        <w:ind w:left="0" w:firstLine="708"/>
        <w:rPr>
          <w:sz w:val="28"/>
          <w:szCs w:val="28"/>
        </w:rPr>
      </w:pPr>
    </w:p>
    <w:p w:rsidR="00153A4E" w:rsidRPr="005E3C93" w:rsidRDefault="00153A4E" w:rsidP="00153A4E">
      <w:pPr>
        <w:ind w:firstLine="720"/>
        <w:jc w:val="center"/>
        <w:rPr>
          <w:b/>
        </w:rPr>
      </w:pPr>
      <w:r w:rsidRPr="005E3C93">
        <w:rPr>
          <w:b/>
        </w:rPr>
        <w:t>Таблица результатов публичных консультаций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3827"/>
        <w:gridCol w:w="2977"/>
      </w:tblGrid>
      <w:tr w:rsidR="00153A4E" w:rsidRPr="005E3C93" w:rsidTr="00672F94">
        <w:tc>
          <w:tcPr>
            <w:tcW w:w="10031" w:type="dxa"/>
            <w:gridSpan w:val="3"/>
            <w:shd w:val="clear" w:color="auto" w:fill="auto"/>
          </w:tcPr>
          <w:p w:rsidR="00153A4E" w:rsidRPr="002F464E" w:rsidRDefault="00153A4E" w:rsidP="00672F94">
            <w:pPr>
              <w:ind w:firstLine="720"/>
              <w:jc w:val="center"/>
              <w:rPr>
                <w:sz w:val="24"/>
                <w:szCs w:val="24"/>
              </w:rPr>
            </w:pPr>
            <w:r w:rsidRPr="002F464E">
              <w:rPr>
                <w:sz w:val="24"/>
                <w:szCs w:val="24"/>
              </w:rPr>
              <w:t>Результаты публичных консультаций</w:t>
            </w:r>
          </w:p>
        </w:tc>
      </w:tr>
      <w:tr w:rsidR="00153A4E" w:rsidRPr="005E3C93" w:rsidTr="00672F94">
        <w:tc>
          <w:tcPr>
            <w:tcW w:w="3227" w:type="dxa"/>
            <w:shd w:val="clear" w:color="auto" w:fill="auto"/>
          </w:tcPr>
          <w:p w:rsidR="00153A4E" w:rsidRPr="002F464E" w:rsidRDefault="00153A4E" w:rsidP="00672F94">
            <w:pPr>
              <w:jc w:val="center"/>
              <w:rPr>
                <w:sz w:val="24"/>
                <w:szCs w:val="24"/>
              </w:rPr>
            </w:pPr>
            <w:r w:rsidRPr="002F464E">
              <w:rPr>
                <w:sz w:val="24"/>
                <w:szCs w:val="24"/>
              </w:rPr>
              <w:t xml:space="preserve">наименование субъекта </w:t>
            </w:r>
            <w:proofErr w:type="gramStart"/>
            <w:r w:rsidRPr="002F464E">
              <w:rPr>
                <w:sz w:val="24"/>
                <w:szCs w:val="24"/>
              </w:rPr>
              <w:t>пу</w:t>
            </w:r>
            <w:r w:rsidRPr="002F464E">
              <w:rPr>
                <w:sz w:val="24"/>
                <w:szCs w:val="24"/>
              </w:rPr>
              <w:t>б</w:t>
            </w:r>
            <w:r w:rsidRPr="002F464E">
              <w:rPr>
                <w:sz w:val="24"/>
                <w:szCs w:val="24"/>
              </w:rPr>
              <w:t>личных</w:t>
            </w:r>
            <w:proofErr w:type="gramEnd"/>
          </w:p>
          <w:p w:rsidR="00153A4E" w:rsidRPr="002F464E" w:rsidRDefault="00153A4E" w:rsidP="00672F94">
            <w:pPr>
              <w:jc w:val="center"/>
              <w:rPr>
                <w:sz w:val="24"/>
                <w:szCs w:val="24"/>
              </w:rPr>
            </w:pPr>
            <w:r w:rsidRPr="002F464E">
              <w:rPr>
                <w:sz w:val="24"/>
                <w:szCs w:val="24"/>
              </w:rPr>
              <w:t>консультаций</w:t>
            </w:r>
          </w:p>
        </w:tc>
        <w:tc>
          <w:tcPr>
            <w:tcW w:w="3827" w:type="dxa"/>
            <w:shd w:val="clear" w:color="auto" w:fill="auto"/>
          </w:tcPr>
          <w:p w:rsidR="00153A4E" w:rsidRPr="002F464E" w:rsidRDefault="00153A4E" w:rsidP="00672F94">
            <w:pPr>
              <w:jc w:val="center"/>
              <w:rPr>
                <w:sz w:val="24"/>
                <w:szCs w:val="24"/>
              </w:rPr>
            </w:pPr>
            <w:r w:rsidRPr="002F464E">
              <w:rPr>
                <w:sz w:val="24"/>
                <w:szCs w:val="24"/>
              </w:rPr>
              <w:t>высказанное мнение</w:t>
            </w:r>
          </w:p>
          <w:p w:rsidR="00153A4E" w:rsidRPr="002F464E" w:rsidRDefault="00153A4E" w:rsidP="00672F94">
            <w:pPr>
              <w:jc w:val="center"/>
              <w:rPr>
                <w:sz w:val="24"/>
                <w:szCs w:val="24"/>
              </w:rPr>
            </w:pPr>
            <w:r w:rsidRPr="002F464E">
              <w:rPr>
                <w:sz w:val="24"/>
                <w:szCs w:val="24"/>
              </w:rPr>
              <w:t>(замечания и (или) предложения)</w:t>
            </w:r>
          </w:p>
        </w:tc>
        <w:tc>
          <w:tcPr>
            <w:tcW w:w="2977" w:type="dxa"/>
            <w:shd w:val="clear" w:color="auto" w:fill="auto"/>
            <w:vAlign w:val="center"/>
          </w:tcPr>
          <w:p w:rsidR="00153A4E" w:rsidRPr="002F464E" w:rsidRDefault="00153A4E" w:rsidP="00672F94">
            <w:pPr>
              <w:jc w:val="center"/>
              <w:rPr>
                <w:sz w:val="24"/>
                <w:szCs w:val="24"/>
              </w:rPr>
            </w:pPr>
            <w:r w:rsidRPr="002F464E">
              <w:rPr>
                <w:sz w:val="24"/>
                <w:szCs w:val="24"/>
              </w:rPr>
              <w:t xml:space="preserve">позиция </w:t>
            </w:r>
            <w:proofErr w:type="gramStart"/>
            <w:r w:rsidRPr="002F464E">
              <w:rPr>
                <w:sz w:val="24"/>
                <w:szCs w:val="24"/>
              </w:rPr>
              <w:t>регулирующего</w:t>
            </w:r>
            <w:proofErr w:type="gramEnd"/>
          </w:p>
          <w:p w:rsidR="00153A4E" w:rsidRPr="002F464E" w:rsidRDefault="00153A4E" w:rsidP="00672F94">
            <w:pPr>
              <w:jc w:val="center"/>
              <w:rPr>
                <w:sz w:val="24"/>
                <w:szCs w:val="24"/>
              </w:rPr>
            </w:pPr>
            <w:r w:rsidRPr="002F464E">
              <w:rPr>
                <w:sz w:val="24"/>
                <w:szCs w:val="24"/>
              </w:rPr>
              <w:t>органа или органа,</w:t>
            </w:r>
          </w:p>
          <w:p w:rsidR="00153A4E" w:rsidRPr="002F464E" w:rsidRDefault="00153A4E" w:rsidP="00672F94">
            <w:pPr>
              <w:jc w:val="center"/>
              <w:rPr>
                <w:sz w:val="24"/>
                <w:szCs w:val="24"/>
              </w:rPr>
            </w:pPr>
            <w:proofErr w:type="gramStart"/>
            <w:r w:rsidRPr="002F464E">
              <w:rPr>
                <w:sz w:val="24"/>
                <w:szCs w:val="24"/>
              </w:rPr>
              <w:t>осуществляющего</w:t>
            </w:r>
            <w:proofErr w:type="gramEnd"/>
          </w:p>
          <w:p w:rsidR="00153A4E" w:rsidRPr="005E3C93" w:rsidRDefault="00153A4E" w:rsidP="00672F94">
            <w:pPr>
              <w:jc w:val="center"/>
            </w:pPr>
            <w:r w:rsidRPr="002F464E">
              <w:rPr>
                <w:sz w:val="24"/>
                <w:szCs w:val="24"/>
              </w:rPr>
              <w:t>экспертизу (с обоснован</w:t>
            </w:r>
            <w:r w:rsidRPr="002F464E">
              <w:rPr>
                <w:sz w:val="24"/>
                <w:szCs w:val="24"/>
              </w:rPr>
              <w:t>и</w:t>
            </w:r>
            <w:r w:rsidRPr="002F464E">
              <w:rPr>
                <w:sz w:val="24"/>
                <w:szCs w:val="24"/>
              </w:rPr>
              <w:t>ем позиции)</w:t>
            </w:r>
          </w:p>
        </w:tc>
      </w:tr>
      <w:tr w:rsidR="00BA15A2" w:rsidRPr="005E3C93" w:rsidTr="00672F94">
        <w:tc>
          <w:tcPr>
            <w:tcW w:w="3227" w:type="dxa"/>
            <w:shd w:val="clear" w:color="auto" w:fill="auto"/>
          </w:tcPr>
          <w:p w:rsidR="00BA15A2" w:rsidRPr="002F464E" w:rsidRDefault="00BA15A2" w:rsidP="00672F94">
            <w:pPr>
              <w:rPr>
                <w:sz w:val="24"/>
                <w:szCs w:val="24"/>
              </w:rPr>
            </w:pPr>
            <w:r w:rsidRPr="002F464E">
              <w:rPr>
                <w:sz w:val="24"/>
                <w:szCs w:val="24"/>
              </w:rPr>
              <w:t>Общественная организация Нижневартовского района «Ассоциация развития и поддержки малого и средн</w:t>
            </w:r>
            <w:r w:rsidRPr="002F464E">
              <w:rPr>
                <w:sz w:val="24"/>
                <w:szCs w:val="24"/>
              </w:rPr>
              <w:t>е</w:t>
            </w:r>
            <w:r w:rsidRPr="002F464E">
              <w:rPr>
                <w:sz w:val="24"/>
                <w:szCs w:val="24"/>
              </w:rPr>
              <w:t>го бизнеса»</w:t>
            </w:r>
          </w:p>
        </w:tc>
        <w:tc>
          <w:tcPr>
            <w:tcW w:w="3827" w:type="dxa"/>
            <w:shd w:val="clear" w:color="auto" w:fill="auto"/>
          </w:tcPr>
          <w:p w:rsidR="00BA15A2" w:rsidRPr="00895747" w:rsidRDefault="00BA15A2" w:rsidP="00581787">
            <w:pPr>
              <w:pStyle w:val="afffffa"/>
              <w:rPr>
                <w:rFonts w:ascii="Times New Roman" w:hAnsi="Times New Roman"/>
                <w:sz w:val="24"/>
                <w:szCs w:val="24"/>
              </w:rPr>
            </w:pPr>
            <w:r w:rsidRPr="00895747">
              <w:rPr>
                <w:rFonts w:ascii="Times New Roman" w:hAnsi="Times New Roman"/>
                <w:bCs/>
                <w:sz w:val="24"/>
                <w:szCs w:val="24"/>
              </w:rPr>
              <w:t>Нормы считаем обоснованными. Замечаний и предложений нет</w:t>
            </w:r>
          </w:p>
        </w:tc>
        <w:tc>
          <w:tcPr>
            <w:tcW w:w="2977" w:type="dxa"/>
            <w:shd w:val="clear" w:color="auto" w:fill="auto"/>
          </w:tcPr>
          <w:p w:rsidR="00BA15A2" w:rsidRPr="005E3C93" w:rsidRDefault="00BA15A2" w:rsidP="00672F94">
            <w:pPr>
              <w:jc w:val="center"/>
            </w:pPr>
            <w:r w:rsidRPr="005E3C93">
              <w:t>-</w:t>
            </w:r>
          </w:p>
        </w:tc>
      </w:tr>
      <w:tr w:rsidR="00BA15A2" w:rsidRPr="005E3C93" w:rsidTr="00672F94">
        <w:tc>
          <w:tcPr>
            <w:tcW w:w="3227" w:type="dxa"/>
            <w:shd w:val="clear" w:color="auto" w:fill="auto"/>
          </w:tcPr>
          <w:p w:rsidR="00BA15A2" w:rsidRPr="002F464E" w:rsidRDefault="00BA15A2" w:rsidP="00672F94">
            <w:pPr>
              <w:rPr>
                <w:sz w:val="24"/>
                <w:szCs w:val="24"/>
              </w:rPr>
            </w:pPr>
            <w:proofErr w:type="spellStart"/>
            <w:r w:rsidRPr="002F464E">
              <w:rPr>
                <w:sz w:val="24"/>
                <w:szCs w:val="24"/>
              </w:rPr>
              <w:t>Нижневартовский</w:t>
            </w:r>
            <w:proofErr w:type="spellEnd"/>
            <w:r w:rsidRPr="002F464E">
              <w:rPr>
                <w:sz w:val="24"/>
                <w:szCs w:val="24"/>
              </w:rPr>
              <w:t xml:space="preserve"> эконом</w:t>
            </w:r>
            <w:r w:rsidRPr="002F464E">
              <w:rPr>
                <w:sz w:val="24"/>
                <w:szCs w:val="24"/>
              </w:rPr>
              <w:t>и</w:t>
            </w:r>
            <w:r w:rsidRPr="002F464E">
              <w:rPr>
                <w:sz w:val="24"/>
                <w:szCs w:val="24"/>
              </w:rPr>
              <w:t>ко-правовой институт (ф</w:t>
            </w:r>
            <w:r w:rsidRPr="002F464E">
              <w:rPr>
                <w:sz w:val="24"/>
                <w:szCs w:val="24"/>
              </w:rPr>
              <w:t>и</w:t>
            </w:r>
            <w:r w:rsidRPr="002F464E">
              <w:rPr>
                <w:sz w:val="24"/>
                <w:szCs w:val="24"/>
              </w:rPr>
              <w:t>лиал) Тюменского госуда</w:t>
            </w:r>
            <w:r w:rsidRPr="002F464E">
              <w:rPr>
                <w:sz w:val="24"/>
                <w:szCs w:val="24"/>
              </w:rPr>
              <w:t>р</w:t>
            </w:r>
            <w:r w:rsidRPr="002F464E">
              <w:rPr>
                <w:sz w:val="24"/>
                <w:szCs w:val="24"/>
              </w:rPr>
              <w:t>ственного университета.</w:t>
            </w:r>
          </w:p>
        </w:tc>
        <w:tc>
          <w:tcPr>
            <w:tcW w:w="3827" w:type="dxa"/>
            <w:shd w:val="clear" w:color="auto" w:fill="auto"/>
          </w:tcPr>
          <w:p w:rsidR="00BA15A2" w:rsidRPr="00895747" w:rsidRDefault="00BA15A2" w:rsidP="00581787">
            <w:pPr>
              <w:pStyle w:val="afffffa"/>
              <w:rPr>
                <w:rFonts w:ascii="Times New Roman" w:hAnsi="Times New Roman"/>
                <w:sz w:val="24"/>
                <w:szCs w:val="24"/>
              </w:rPr>
            </w:pPr>
            <w:r>
              <w:rPr>
                <w:rFonts w:ascii="Times New Roman" w:hAnsi="Times New Roman"/>
                <w:sz w:val="24"/>
                <w:szCs w:val="24"/>
              </w:rPr>
              <w:t>М</w:t>
            </w:r>
            <w:r w:rsidRPr="00895747">
              <w:rPr>
                <w:rFonts w:ascii="Times New Roman" w:hAnsi="Times New Roman"/>
                <w:sz w:val="24"/>
                <w:szCs w:val="24"/>
              </w:rPr>
              <w:t>уни</w:t>
            </w:r>
            <w:r>
              <w:rPr>
                <w:rFonts w:ascii="Times New Roman" w:hAnsi="Times New Roman"/>
                <w:sz w:val="24"/>
                <w:szCs w:val="24"/>
              </w:rPr>
              <w:t>ципальный правовой акт</w:t>
            </w:r>
            <w:r w:rsidRPr="00895747">
              <w:rPr>
                <w:rFonts w:ascii="Times New Roman" w:hAnsi="Times New Roman"/>
                <w:sz w:val="24"/>
                <w:szCs w:val="24"/>
              </w:rPr>
              <w:t xml:space="preserve"> </w:t>
            </w:r>
            <w:r>
              <w:rPr>
                <w:rFonts w:ascii="Times New Roman" w:hAnsi="Times New Roman"/>
                <w:sz w:val="24"/>
                <w:szCs w:val="24"/>
              </w:rPr>
              <w:t>с</w:t>
            </w:r>
            <w:r>
              <w:rPr>
                <w:rFonts w:ascii="Times New Roman" w:hAnsi="Times New Roman"/>
                <w:sz w:val="24"/>
                <w:szCs w:val="24"/>
              </w:rPr>
              <w:t>о</w:t>
            </w:r>
            <w:r>
              <w:rPr>
                <w:rFonts w:ascii="Times New Roman" w:hAnsi="Times New Roman"/>
                <w:sz w:val="24"/>
                <w:szCs w:val="24"/>
              </w:rPr>
              <w:t>держит обоснования</w:t>
            </w:r>
            <w:r w:rsidRPr="00895747">
              <w:rPr>
                <w:rFonts w:ascii="Times New Roman" w:hAnsi="Times New Roman"/>
                <w:sz w:val="24"/>
                <w:szCs w:val="24"/>
              </w:rPr>
              <w:t xml:space="preserve"> </w:t>
            </w:r>
            <w:r>
              <w:rPr>
                <w:rFonts w:ascii="Times New Roman" w:hAnsi="Times New Roman"/>
                <w:sz w:val="24"/>
                <w:szCs w:val="24"/>
              </w:rPr>
              <w:t>объясняющие необходимость данного правового регулирования.</w:t>
            </w:r>
            <w:r w:rsidRPr="00895747">
              <w:rPr>
                <w:rFonts w:ascii="Times New Roman" w:hAnsi="Times New Roman"/>
                <w:sz w:val="24"/>
                <w:szCs w:val="24"/>
              </w:rPr>
              <w:t xml:space="preserve"> </w:t>
            </w:r>
            <w:r>
              <w:rPr>
                <w:rFonts w:ascii="Times New Roman" w:hAnsi="Times New Roman"/>
                <w:sz w:val="24"/>
                <w:szCs w:val="24"/>
              </w:rPr>
              <w:t>П</w:t>
            </w:r>
            <w:r w:rsidRPr="00895747">
              <w:rPr>
                <w:rFonts w:ascii="Times New Roman" w:hAnsi="Times New Roman"/>
                <w:sz w:val="24"/>
                <w:szCs w:val="24"/>
              </w:rPr>
              <w:t>редложения и замечания отсутствуют.</w:t>
            </w:r>
          </w:p>
        </w:tc>
        <w:tc>
          <w:tcPr>
            <w:tcW w:w="2977" w:type="dxa"/>
            <w:shd w:val="clear" w:color="auto" w:fill="auto"/>
          </w:tcPr>
          <w:p w:rsidR="00BA15A2" w:rsidRPr="005E3C93" w:rsidRDefault="00BA15A2" w:rsidP="00672F94">
            <w:pPr>
              <w:jc w:val="center"/>
            </w:pPr>
            <w:r w:rsidRPr="005E3C93">
              <w:t>-</w:t>
            </w:r>
          </w:p>
        </w:tc>
      </w:tr>
      <w:tr w:rsidR="00BA15A2" w:rsidRPr="005E3C93" w:rsidTr="00672F94">
        <w:tc>
          <w:tcPr>
            <w:tcW w:w="3227" w:type="dxa"/>
            <w:shd w:val="clear" w:color="auto" w:fill="auto"/>
          </w:tcPr>
          <w:p w:rsidR="00BA15A2" w:rsidRPr="00C0473C" w:rsidRDefault="00BA15A2" w:rsidP="00672F94">
            <w:pPr>
              <w:rPr>
                <w:sz w:val="24"/>
                <w:szCs w:val="24"/>
              </w:rPr>
            </w:pPr>
            <w:r w:rsidRPr="00C0473C">
              <w:rPr>
                <w:sz w:val="24"/>
                <w:szCs w:val="24"/>
              </w:rPr>
              <w:t>МУП «Сельское жилищно-коммунальное хозяйство»</w:t>
            </w:r>
          </w:p>
        </w:tc>
        <w:tc>
          <w:tcPr>
            <w:tcW w:w="3827" w:type="dxa"/>
            <w:shd w:val="clear" w:color="auto" w:fill="auto"/>
          </w:tcPr>
          <w:p w:rsidR="00BA15A2" w:rsidRPr="00895747" w:rsidRDefault="00BA15A2" w:rsidP="00581787">
            <w:pPr>
              <w:rPr>
                <w:sz w:val="24"/>
                <w:szCs w:val="24"/>
              </w:rPr>
            </w:pPr>
            <w:r>
              <w:rPr>
                <w:bCs/>
                <w:sz w:val="24"/>
                <w:szCs w:val="24"/>
              </w:rPr>
              <w:t>К данному постановлению зам</w:t>
            </w:r>
            <w:r>
              <w:rPr>
                <w:bCs/>
                <w:sz w:val="24"/>
                <w:szCs w:val="24"/>
              </w:rPr>
              <w:t>е</w:t>
            </w:r>
            <w:r>
              <w:rPr>
                <w:bCs/>
                <w:sz w:val="24"/>
                <w:szCs w:val="24"/>
              </w:rPr>
              <w:t>чаний нет</w:t>
            </w:r>
          </w:p>
        </w:tc>
        <w:tc>
          <w:tcPr>
            <w:tcW w:w="2977" w:type="dxa"/>
            <w:shd w:val="clear" w:color="auto" w:fill="auto"/>
          </w:tcPr>
          <w:p w:rsidR="00BA15A2" w:rsidRPr="00C0473C" w:rsidRDefault="00BA15A2" w:rsidP="00672F94">
            <w:pPr>
              <w:jc w:val="center"/>
              <w:rPr>
                <w:sz w:val="24"/>
                <w:szCs w:val="24"/>
              </w:rPr>
            </w:pPr>
            <w:r w:rsidRPr="00C0473C">
              <w:rPr>
                <w:sz w:val="24"/>
                <w:szCs w:val="24"/>
              </w:rPr>
              <w:t>-</w:t>
            </w:r>
          </w:p>
        </w:tc>
      </w:tr>
      <w:tr w:rsidR="00BA15A2" w:rsidRPr="005E3C93" w:rsidTr="00672F94">
        <w:tc>
          <w:tcPr>
            <w:tcW w:w="3227" w:type="dxa"/>
            <w:shd w:val="clear" w:color="auto" w:fill="auto"/>
          </w:tcPr>
          <w:p w:rsidR="00BA15A2" w:rsidRPr="00C0473C" w:rsidRDefault="00BA15A2" w:rsidP="00672F94">
            <w:pPr>
              <w:rPr>
                <w:sz w:val="24"/>
                <w:szCs w:val="24"/>
              </w:rPr>
            </w:pPr>
            <w:r w:rsidRPr="00C0473C">
              <w:rPr>
                <w:sz w:val="24"/>
                <w:szCs w:val="24"/>
              </w:rPr>
              <w:t>МКУ «УКС по застройке Нижневартовского района»</w:t>
            </w:r>
          </w:p>
        </w:tc>
        <w:tc>
          <w:tcPr>
            <w:tcW w:w="3827" w:type="dxa"/>
            <w:shd w:val="clear" w:color="auto" w:fill="auto"/>
          </w:tcPr>
          <w:p w:rsidR="00BA15A2" w:rsidRPr="00895747" w:rsidRDefault="00BA15A2" w:rsidP="00581787">
            <w:pPr>
              <w:rPr>
                <w:sz w:val="24"/>
                <w:szCs w:val="24"/>
              </w:rPr>
            </w:pPr>
            <w:proofErr w:type="gramStart"/>
            <w:r w:rsidRPr="00895747">
              <w:rPr>
                <w:bCs/>
                <w:sz w:val="24"/>
                <w:szCs w:val="24"/>
              </w:rPr>
              <w:t>Нормы</w:t>
            </w:r>
            <w:r>
              <w:rPr>
                <w:bCs/>
                <w:sz w:val="24"/>
                <w:szCs w:val="24"/>
              </w:rPr>
              <w:t>,</w:t>
            </w:r>
            <w:r w:rsidRPr="00895747">
              <w:rPr>
                <w:bCs/>
                <w:sz w:val="24"/>
                <w:szCs w:val="24"/>
              </w:rPr>
              <w:t xml:space="preserve"> содержащиеся в пост</w:t>
            </w:r>
            <w:r w:rsidRPr="00895747">
              <w:rPr>
                <w:bCs/>
                <w:sz w:val="24"/>
                <w:szCs w:val="24"/>
              </w:rPr>
              <w:t>а</w:t>
            </w:r>
            <w:r w:rsidRPr="00895747">
              <w:rPr>
                <w:bCs/>
                <w:sz w:val="24"/>
                <w:szCs w:val="24"/>
              </w:rPr>
              <w:t>новлении считаю</w:t>
            </w:r>
            <w:proofErr w:type="gramEnd"/>
            <w:r w:rsidRPr="00895747">
              <w:rPr>
                <w:bCs/>
                <w:sz w:val="24"/>
                <w:szCs w:val="24"/>
              </w:rPr>
              <w:t xml:space="preserve"> обоснованными, замечаний и предложений нет.</w:t>
            </w:r>
          </w:p>
        </w:tc>
        <w:tc>
          <w:tcPr>
            <w:tcW w:w="2977" w:type="dxa"/>
            <w:shd w:val="clear" w:color="auto" w:fill="auto"/>
          </w:tcPr>
          <w:p w:rsidR="00BA15A2" w:rsidRPr="00C0473C" w:rsidRDefault="00BA15A2" w:rsidP="00277CAC">
            <w:pPr>
              <w:jc w:val="center"/>
              <w:rPr>
                <w:sz w:val="24"/>
                <w:szCs w:val="24"/>
              </w:rPr>
            </w:pPr>
            <w:r w:rsidRPr="00C0473C">
              <w:rPr>
                <w:sz w:val="24"/>
                <w:szCs w:val="24"/>
              </w:rPr>
              <w:t>-</w:t>
            </w:r>
          </w:p>
        </w:tc>
      </w:tr>
      <w:tr w:rsidR="00BA15A2" w:rsidRPr="005E3C93" w:rsidTr="00672F94">
        <w:tc>
          <w:tcPr>
            <w:tcW w:w="3227" w:type="dxa"/>
            <w:shd w:val="clear" w:color="auto" w:fill="auto"/>
          </w:tcPr>
          <w:p w:rsidR="00BA15A2" w:rsidRPr="00C0473C" w:rsidRDefault="00BA15A2" w:rsidP="00672F94">
            <w:pPr>
              <w:rPr>
                <w:sz w:val="24"/>
                <w:szCs w:val="24"/>
              </w:rPr>
            </w:pPr>
            <w:r w:rsidRPr="00C0473C">
              <w:rPr>
                <w:sz w:val="24"/>
                <w:szCs w:val="24"/>
                <w:lang w:eastAsia="ar-SA"/>
              </w:rPr>
              <w:t>АО «Югорская энергетич</w:t>
            </w:r>
            <w:r w:rsidRPr="00C0473C">
              <w:rPr>
                <w:sz w:val="24"/>
                <w:szCs w:val="24"/>
                <w:lang w:eastAsia="ar-SA"/>
              </w:rPr>
              <w:t>е</w:t>
            </w:r>
            <w:r w:rsidRPr="00C0473C">
              <w:rPr>
                <w:sz w:val="24"/>
                <w:szCs w:val="24"/>
                <w:lang w:eastAsia="ar-SA"/>
              </w:rPr>
              <w:t xml:space="preserve">ская компания </w:t>
            </w:r>
            <w:proofErr w:type="spellStart"/>
            <w:proofErr w:type="gramStart"/>
            <w:r w:rsidRPr="00C0473C">
              <w:rPr>
                <w:sz w:val="24"/>
                <w:szCs w:val="24"/>
                <w:lang w:eastAsia="ar-SA"/>
              </w:rPr>
              <w:t>де-централизованной</w:t>
            </w:r>
            <w:proofErr w:type="spellEnd"/>
            <w:proofErr w:type="gramEnd"/>
            <w:r w:rsidRPr="00C0473C">
              <w:rPr>
                <w:sz w:val="24"/>
                <w:szCs w:val="24"/>
                <w:lang w:eastAsia="ar-SA"/>
              </w:rPr>
              <w:t xml:space="preserve"> зоны»</w:t>
            </w:r>
          </w:p>
        </w:tc>
        <w:tc>
          <w:tcPr>
            <w:tcW w:w="3827" w:type="dxa"/>
            <w:shd w:val="clear" w:color="auto" w:fill="auto"/>
          </w:tcPr>
          <w:p w:rsidR="00BA15A2" w:rsidRPr="00895747" w:rsidRDefault="00BA15A2" w:rsidP="00581787">
            <w:pPr>
              <w:rPr>
                <w:bCs/>
                <w:sz w:val="24"/>
                <w:szCs w:val="24"/>
              </w:rPr>
            </w:pPr>
            <w:r>
              <w:rPr>
                <w:bCs/>
                <w:sz w:val="24"/>
                <w:szCs w:val="24"/>
              </w:rPr>
              <w:t>Предложения и замечания отсу</w:t>
            </w:r>
            <w:r>
              <w:rPr>
                <w:bCs/>
                <w:sz w:val="24"/>
                <w:szCs w:val="24"/>
              </w:rPr>
              <w:t>т</w:t>
            </w:r>
            <w:r>
              <w:rPr>
                <w:bCs/>
                <w:sz w:val="24"/>
                <w:szCs w:val="24"/>
              </w:rPr>
              <w:t>ствуют.</w:t>
            </w:r>
          </w:p>
        </w:tc>
        <w:tc>
          <w:tcPr>
            <w:tcW w:w="2977" w:type="dxa"/>
            <w:shd w:val="clear" w:color="auto" w:fill="auto"/>
          </w:tcPr>
          <w:p w:rsidR="00BA15A2" w:rsidRPr="00C0473C" w:rsidRDefault="00BA15A2" w:rsidP="00277CAC">
            <w:pPr>
              <w:jc w:val="center"/>
              <w:rPr>
                <w:sz w:val="24"/>
                <w:szCs w:val="24"/>
              </w:rPr>
            </w:pPr>
            <w:r>
              <w:rPr>
                <w:sz w:val="24"/>
                <w:szCs w:val="24"/>
              </w:rPr>
              <w:t>-</w:t>
            </w:r>
          </w:p>
        </w:tc>
      </w:tr>
    </w:tbl>
    <w:p w:rsidR="00153A4E" w:rsidRPr="003C62FF" w:rsidRDefault="00153A4E" w:rsidP="00153A4E">
      <w:pPr>
        <w:ind w:firstLine="709"/>
      </w:pPr>
    </w:p>
    <w:p w:rsidR="00153A4E" w:rsidRDefault="00153A4E" w:rsidP="00153A4E">
      <w:pPr>
        <w:jc w:val="both"/>
      </w:pPr>
      <w:r w:rsidRPr="000264BC">
        <w:t xml:space="preserve">Приложение: </w:t>
      </w:r>
    </w:p>
    <w:p w:rsidR="00153A4E" w:rsidRPr="000264BC" w:rsidRDefault="00153A4E" w:rsidP="00153A4E">
      <w:pPr>
        <w:jc w:val="both"/>
      </w:pPr>
    </w:p>
    <w:p w:rsidR="00153A4E" w:rsidRPr="00F90CEF" w:rsidRDefault="00153A4E" w:rsidP="00153A4E">
      <w:pPr>
        <w:pStyle w:val="afffff5"/>
        <w:numPr>
          <w:ilvl w:val="0"/>
          <w:numId w:val="18"/>
        </w:numPr>
        <w:suppressAutoHyphens w:val="0"/>
        <w:spacing w:after="200" w:line="276" w:lineRule="auto"/>
        <w:ind w:left="0" w:firstLine="567"/>
        <w:contextualSpacing/>
        <w:rPr>
          <w:i/>
          <w:sz w:val="28"/>
          <w:szCs w:val="28"/>
        </w:rPr>
      </w:pPr>
      <w:proofErr w:type="gramStart"/>
      <w:r>
        <w:rPr>
          <w:sz w:val="28"/>
          <w:szCs w:val="28"/>
        </w:rPr>
        <w:t>П</w:t>
      </w:r>
      <w:r w:rsidRPr="00A0614E">
        <w:rPr>
          <w:sz w:val="28"/>
          <w:szCs w:val="28"/>
        </w:rPr>
        <w:t>остановлени</w:t>
      </w:r>
      <w:r>
        <w:rPr>
          <w:sz w:val="28"/>
          <w:szCs w:val="28"/>
        </w:rPr>
        <w:t>е</w:t>
      </w:r>
      <w:r w:rsidRPr="00A0614E">
        <w:rPr>
          <w:sz w:val="28"/>
          <w:szCs w:val="28"/>
        </w:rPr>
        <w:t xml:space="preserve"> администрации района </w:t>
      </w:r>
      <w:r w:rsidR="00143291" w:rsidRPr="004A7A35">
        <w:rPr>
          <w:sz w:val="28"/>
          <w:szCs w:val="28"/>
        </w:rPr>
        <w:t xml:space="preserve">от </w:t>
      </w:r>
      <w:r w:rsidR="00143291">
        <w:rPr>
          <w:sz w:val="28"/>
          <w:szCs w:val="28"/>
        </w:rPr>
        <w:t>26</w:t>
      </w:r>
      <w:r w:rsidR="00143291" w:rsidRPr="004A7A35">
        <w:rPr>
          <w:sz w:val="28"/>
          <w:szCs w:val="28"/>
        </w:rPr>
        <w:t>.12.2017 № 2</w:t>
      </w:r>
      <w:r w:rsidR="00143291">
        <w:rPr>
          <w:sz w:val="28"/>
          <w:szCs w:val="28"/>
        </w:rPr>
        <w:t>764</w:t>
      </w:r>
      <w:r w:rsidRPr="00153A4E">
        <w:rPr>
          <w:sz w:val="28"/>
          <w:szCs w:val="28"/>
        </w:rPr>
        <w:t xml:space="preserve"> внес</w:t>
      </w:r>
      <w:r w:rsidRPr="00153A4E">
        <w:rPr>
          <w:sz w:val="28"/>
          <w:szCs w:val="28"/>
        </w:rPr>
        <w:t>е</w:t>
      </w:r>
      <w:r w:rsidRPr="00153A4E">
        <w:rPr>
          <w:sz w:val="28"/>
          <w:szCs w:val="28"/>
        </w:rPr>
        <w:t>нии изменений в постановление администрации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годы»</w:t>
      </w:r>
      <w:r>
        <w:rPr>
          <w:sz w:val="28"/>
          <w:szCs w:val="28"/>
        </w:rPr>
        <w:t>.</w:t>
      </w:r>
      <w:proofErr w:type="gramEnd"/>
    </w:p>
    <w:p w:rsidR="00153A4E" w:rsidRPr="00F90CEF" w:rsidRDefault="00153A4E" w:rsidP="00153A4E">
      <w:pPr>
        <w:pStyle w:val="afffff5"/>
        <w:numPr>
          <w:ilvl w:val="0"/>
          <w:numId w:val="18"/>
        </w:numPr>
        <w:suppressAutoHyphens w:val="0"/>
        <w:spacing w:after="200" w:line="276" w:lineRule="auto"/>
        <w:ind w:left="0" w:firstLine="567"/>
        <w:contextualSpacing/>
        <w:rPr>
          <w:i/>
          <w:sz w:val="28"/>
          <w:szCs w:val="28"/>
        </w:rPr>
      </w:pPr>
      <w:r w:rsidRPr="00F90CEF">
        <w:rPr>
          <w:sz w:val="28"/>
          <w:szCs w:val="28"/>
        </w:rPr>
        <w:t>Копии отзывов участников публичных консультаций.</w:t>
      </w:r>
    </w:p>
    <w:p w:rsidR="00D470C6" w:rsidRDefault="00D470C6" w:rsidP="001A4C6C">
      <w:pPr>
        <w:ind w:left="10206"/>
        <w:rPr>
          <w:rFonts w:ascii="Calibri" w:eastAsia="Calibri" w:hAnsi="Calibri"/>
          <w:sz w:val="22"/>
          <w:szCs w:val="22"/>
          <w:lang w:eastAsia="en-US"/>
        </w:rPr>
      </w:pPr>
    </w:p>
    <w:sectPr w:rsidR="00D470C6" w:rsidSect="001A4C6C">
      <w:headerReference w:type="default" r:id="rId8"/>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36" w:rsidRDefault="00F44136">
      <w:r>
        <w:separator/>
      </w:r>
    </w:p>
  </w:endnote>
  <w:endnote w:type="continuationSeparator" w:id="0">
    <w:p w:rsidR="00F44136" w:rsidRDefault="00F4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36" w:rsidRDefault="00F44136">
      <w:r>
        <w:separator/>
      </w:r>
    </w:p>
  </w:footnote>
  <w:footnote w:type="continuationSeparator" w:id="0">
    <w:p w:rsidR="00F44136" w:rsidRDefault="00F441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870153">
        <w:pPr>
          <w:pStyle w:val="a4"/>
          <w:jc w:val="center"/>
        </w:pPr>
        <w:r>
          <w:fldChar w:fldCharType="begin"/>
        </w:r>
        <w:r w:rsidR="00AD2097">
          <w:instrText>PAGE   \* MERGEFORMAT</w:instrText>
        </w:r>
        <w:r>
          <w:fldChar w:fldCharType="separate"/>
        </w:r>
        <w:r w:rsidR="00BA15A2">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C11C0F"/>
    <w:multiLevelType w:val="hybridMultilevel"/>
    <w:tmpl w:val="335CCDF0"/>
    <w:lvl w:ilvl="0" w:tplc="40B6E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10318F"/>
    <w:multiLevelType w:val="singleLevel"/>
    <w:tmpl w:val="0419000F"/>
    <w:lvl w:ilvl="0">
      <w:start w:val="1"/>
      <w:numFmt w:val="decimal"/>
      <w:lvlText w:val="%1."/>
      <w:lvlJc w:val="left"/>
      <w:pPr>
        <w:tabs>
          <w:tab w:val="num" w:pos="360"/>
        </w:tabs>
        <w:ind w:left="360" w:hanging="360"/>
      </w:pPr>
    </w:lvl>
  </w:abstractNum>
  <w:abstractNum w:abstractNumId="8">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2F76E5"/>
    <w:multiLevelType w:val="hybridMultilevel"/>
    <w:tmpl w:val="335CCDF0"/>
    <w:lvl w:ilvl="0" w:tplc="40B6EC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A00460"/>
    <w:multiLevelType w:val="hybridMultilevel"/>
    <w:tmpl w:val="2068822E"/>
    <w:lvl w:ilvl="0" w:tplc="D416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D12DB5"/>
    <w:multiLevelType w:val="hybridMultilevel"/>
    <w:tmpl w:val="AFAE285A"/>
    <w:lvl w:ilvl="0" w:tplc="6AD83780">
      <w:start w:val="1"/>
      <w:numFmt w:val="decimal"/>
      <w:lvlText w:val="%1."/>
      <w:lvlJc w:val="left"/>
      <w:pPr>
        <w:ind w:left="2072" w:hanging="360"/>
      </w:pPr>
      <w:rPr>
        <w:rFonts w:hint="default"/>
        <w:i w:val="0"/>
      </w:rPr>
    </w:lvl>
    <w:lvl w:ilvl="1" w:tplc="04190019" w:tentative="1">
      <w:start w:val="1"/>
      <w:numFmt w:val="lowerLetter"/>
      <w:lvlText w:val="%2."/>
      <w:lvlJc w:val="left"/>
      <w:pPr>
        <w:ind w:left="2792" w:hanging="360"/>
      </w:pPr>
    </w:lvl>
    <w:lvl w:ilvl="2" w:tplc="0419001B" w:tentative="1">
      <w:start w:val="1"/>
      <w:numFmt w:val="lowerRoman"/>
      <w:lvlText w:val="%3."/>
      <w:lvlJc w:val="right"/>
      <w:pPr>
        <w:ind w:left="3512" w:hanging="180"/>
      </w:pPr>
    </w:lvl>
    <w:lvl w:ilvl="3" w:tplc="0419000F" w:tentative="1">
      <w:start w:val="1"/>
      <w:numFmt w:val="decimal"/>
      <w:lvlText w:val="%4."/>
      <w:lvlJc w:val="left"/>
      <w:pPr>
        <w:ind w:left="4232" w:hanging="360"/>
      </w:pPr>
    </w:lvl>
    <w:lvl w:ilvl="4" w:tplc="04190019" w:tentative="1">
      <w:start w:val="1"/>
      <w:numFmt w:val="lowerLetter"/>
      <w:lvlText w:val="%5."/>
      <w:lvlJc w:val="left"/>
      <w:pPr>
        <w:ind w:left="4952" w:hanging="360"/>
      </w:pPr>
    </w:lvl>
    <w:lvl w:ilvl="5" w:tplc="0419001B" w:tentative="1">
      <w:start w:val="1"/>
      <w:numFmt w:val="lowerRoman"/>
      <w:lvlText w:val="%6."/>
      <w:lvlJc w:val="right"/>
      <w:pPr>
        <w:ind w:left="5672" w:hanging="180"/>
      </w:pPr>
    </w:lvl>
    <w:lvl w:ilvl="6" w:tplc="0419000F" w:tentative="1">
      <w:start w:val="1"/>
      <w:numFmt w:val="decimal"/>
      <w:lvlText w:val="%7."/>
      <w:lvlJc w:val="left"/>
      <w:pPr>
        <w:ind w:left="6392" w:hanging="360"/>
      </w:pPr>
    </w:lvl>
    <w:lvl w:ilvl="7" w:tplc="04190019" w:tentative="1">
      <w:start w:val="1"/>
      <w:numFmt w:val="lowerLetter"/>
      <w:lvlText w:val="%8."/>
      <w:lvlJc w:val="left"/>
      <w:pPr>
        <w:ind w:left="7112" w:hanging="360"/>
      </w:pPr>
    </w:lvl>
    <w:lvl w:ilvl="8" w:tplc="0419001B" w:tentative="1">
      <w:start w:val="1"/>
      <w:numFmt w:val="lowerRoman"/>
      <w:lvlText w:val="%9."/>
      <w:lvlJc w:val="right"/>
      <w:pPr>
        <w:ind w:left="7832" w:hanging="180"/>
      </w:pPr>
    </w:lvl>
  </w:abstractNum>
  <w:abstractNum w:abstractNumId="17">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num>
  <w:num w:numId="10">
    <w:abstractNumId w:val="20"/>
  </w:num>
  <w:num w:numId="11">
    <w:abstractNumId w:val="17"/>
  </w:num>
  <w:num w:numId="12">
    <w:abstractNumId w:val="10"/>
  </w:num>
  <w:num w:numId="13">
    <w:abstractNumId w:val="5"/>
  </w:num>
  <w:num w:numId="14">
    <w:abstractNumId w:val="13"/>
  </w:num>
  <w:num w:numId="15">
    <w:abstractNumId w:val="11"/>
  </w:num>
  <w:num w:numId="16">
    <w:abstractNumId w:val="6"/>
  </w:num>
  <w:num w:numId="17">
    <w:abstractNumId w:val="15"/>
  </w:num>
  <w:num w:numId="18">
    <w:abstractNumId w:val="16"/>
  </w:num>
  <w:num w:numId="19">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C70"/>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291"/>
    <w:rsid w:val="00143E47"/>
    <w:rsid w:val="00143EEF"/>
    <w:rsid w:val="0014484B"/>
    <w:rsid w:val="0014488B"/>
    <w:rsid w:val="001448CA"/>
    <w:rsid w:val="00144C10"/>
    <w:rsid w:val="001501B7"/>
    <w:rsid w:val="001502E1"/>
    <w:rsid w:val="00153090"/>
    <w:rsid w:val="00153A4E"/>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3F74"/>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685"/>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77CAC"/>
    <w:rsid w:val="002805A2"/>
    <w:rsid w:val="00282355"/>
    <w:rsid w:val="002834EC"/>
    <w:rsid w:val="002954C9"/>
    <w:rsid w:val="002A2381"/>
    <w:rsid w:val="002A264B"/>
    <w:rsid w:val="002A51A2"/>
    <w:rsid w:val="002A6D69"/>
    <w:rsid w:val="002A7193"/>
    <w:rsid w:val="002B2C2B"/>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0252"/>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6F5D"/>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329"/>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A715D"/>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0153"/>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198"/>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097"/>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15A2"/>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37EA"/>
    <w:rsid w:val="00BF71E6"/>
    <w:rsid w:val="00C00870"/>
    <w:rsid w:val="00C01321"/>
    <w:rsid w:val="00C0312C"/>
    <w:rsid w:val="00C04164"/>
    <w:rsid w:val="00C0473C"/>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1010"/>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4FC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6D63"/>
    <w:rsid w:val="00F27741"/>
    <w:rsid w:val="00F279A5"/>
    <w:rsid w:val="00F32FBB"/>
    <w:rsid w:val="00F35AE8"/>
    <w:rsid w:val="00F36667"/>
    <w:rsid w:val="00F40887"/>
    <w:rsid w:val="00F425C0"/>
    <w:rsid w:val="00F44136"/>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AB89-E9AF-41D1-B089-B820285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2018-10-08T12:25:00Z</dcterms:created>
  <dcterms:modified xsi:type="dcterms:W3CDTF">2018-10-08T12:25:00Z</dcterms:modified>
</cp:coreProperties>
</file>